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APRENDIZAJE AUTODIRIGIDO PARA EL TALLER Nº 1: VIOLENCIA Y MALTRATO FAMILIAR EN EUROPA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3969"/>
        <w:gridCol w:w="1417"/>
        <w:tblGridChange w:id="0">
          <w:tblGrid>
            <w:gridCol w:w="5671"/>
            <w:gridCol w:w="3969"/>
            <w:gridCol w:w="1417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ACTIVIDAD 1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TEMA: Comportamiento infantil hacia los padres vs. violencia y negligencia.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8d08d" w:val="clea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 DE APRENDIZAJE AUTODIRIGIDO</w:t>
            </w:r>
          </w:p>
        </w:tc>
      </w:tr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 principal de la actividad: Reconocer las señales de alerta a través del comportamiento de un niño.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Revisa el enlace, donde encontrarás materiales sobre los estilos de apego.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Utilizando tus conocimientos del Taller 1 (Capítulo 1.4), asigna las posibles formas de violencia a los estilos de apego: inseguro ambivalente, evitativo y desorganizado. (20 minutos)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 </w:t>
            </w:r>
            <w:r w:rsidDel="00000000" w:rsidR="00000000" w:rsidRPr="00000000">
              <w:rPr>
                <w:rtl w:val="0"/>
              </w:rPr>
              <w:t xml:space="preserve">¿A qué hay que prestar atención si un niño ignora a sus padres?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 ) </w:t>
            </w:r>
            <w:r w:rsidDel="00000000" w:rsidR="00000000" w:rsidRPr="00000000">
              <w:rPr>
                <w:rtl w:val="0"/>
              </w:rPr>
              <w:t xml:space="preserve">¿A qué hay que prestar atención si un niño de varios años se muestra hostil con sus figuras de cuidado?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c) </w:t>
            </w:r>
            <w:r w:rsidDel="00000000" w:rsidR="00000000" w:rsidRPr="00000000">
              <w:rPr>
                <w:rtl w:val="0"/>
              </w:rPr>
              <w:t xml:space="preserve">¿Se deben estos dos tipos a la indefensión y a problemas adicionales o a una acción deliberada? ¿Qué se puede hacer por estas familias? ¿La ayuda debe ir dirigida sólo al niño o también a los cuidadores?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En caso afirmativo, ¿de qué tipo?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d) ¿Qué factores de riesgo serán más cruciales para los tipos desorganizado, evitativo y ambivalente?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e) ¿Qué tipos aumentan el riesgo de sufrir violencia de pareja en el futuro?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f) Aparte de la violencia en el ámbito familiar, ¿qué factores podrían influir en los comportamientos en cuestión?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Me gustaría recordarles que el comportamiento de un niño determinado no significa necesariamente violencia; pero sí es una señal de advertencia que indica que se debe analizar la situación, especialmente si todas las necesidades están cubiertas.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RESULTADOS DEL APRENDIZAJE: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Saber reconocer las señales de alerta.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Capacidad para mostrar a qué hay que prestar especial atención.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Capacidad para sensibilizar sobre el hecho de que, a veces, el origen de la violencia o la negligencia de un padre hacia su hijo es la indefensión.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DURACIÓN: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 horas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y preparativos</w:t>
            </w:r>
            <w:r w:rsidDel="00000000" w:rsidR="00000000" w:rsidRPr="00000000">
              <w:rPr>
                <w:rtl w:val="0"/>
              </w:rPr>
              <w:t xml:space="preserve">: cuaderno, bolígrafo, ordenador.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Información y autoevaluación: </w:t>
            </w:r>
            <w:r w:rsidDel="00000000" w:rsidR="00000000" w:rsidRPr="00000000">
              <w:rPr>
                <w:rtl w:val="0"/>
              </w:rPr>
              <w:t xml:space="preserve">El comportamiento del niño dice mucho del estilo de crianza. En particular, puede indicar negligencia o falta de atención. Este ejercicio te permitirá captar mejor las señales de alarma.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REFERENCIAS: </w:t>
            </w:r>
            <w:r w:rsidDel="00000000" w:rsidR="00000000" w:rsidRPr="00000000">
              <w:rPr>
                <w:rtl w:val="0"/>
              </w:rPr>
              <w:t xml:space="preserve">Taller IRENE nº 1</w:t>
              <w:br w:type="textWrapping"/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563c1"/>
                  <w:u w:val="single"/>
                  <w:rtl w:val="0"/>
                </w:rPr>
                <w:t xml:space="preserve">https://positivepsychology.com/attachment-styles-childhood/</w:t>
              </w:r>
            </w:hyperlink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1"/>
        <w:gridCol w:w="3969"/>
        <w:gridCol w:w="1417"/>
        <w:tblGridChange w:id="0">
          <w:tblGrid>
            <w:gridCol w:w="5671"/>
            <w:gridCol w:w="3969"/>
            <w:gridCol w:w="1417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ACTIVIDAD 2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TEMA: Preocupaciones de las víctimas y soluciones para ellas.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8d08d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 DE APRENDIZAJE AUTODIRIGIDO</w:t>
            </w:r>
          </w:p>
        </w:tc>
      </w:tr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 principal de la actividad: Una mirada desde la perspectiva de la víctima.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Primera parte:</w:t>
            </w:r>
          </w:p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Muchas víctimas de violencia no la denuncian. En este ejercicio, tienes que empatizar con la víctima para comprenderla mejor. Enumera 5 razones  (no tienen por qué ser racionales -especialmente las víctimas de</w:t>
            </w:r>
            <w:r w:rsidDel="00000000" w:rsidR="00000000" w:rsidRPr="00000000">
              <w:rPr>
                <w:i w:val="1"/>
                <w:rtl w:val="0"/>
              </w:rPr>
              <w:t xml:space="preserve"> gaslighting</w:t>
            </w:r>
            <w:r w:rsidDel="00000000" w:rsidR="00000000" w:rsidRPr="00000000">
              <w:rPr>
                <w:rtl w:val="0"/>
              </w:rPr>
              <w:t xml:space="preserve"> no se comportan de manera racional- pero deben ser plausibles desde el punto de vista de la víctima) por las cuales no denunciar la violencia en los casos en cuestión: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a) Un adolescente de 13 años sufre violencia física y psicológica por parte de sus padres.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b) Una persona transexual de 16 años sufre violencia psicológica y de género por parte de la familia.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c) Mujer adulta que sufre violencia sexual y económica por parte de su pareja.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d) Una persona mayor que sufre violencia psicológica por parte de su hijo. Es incapaz de funcionar de forma independiente.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Segunda parte: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Busca dos soluciones para cada uno de los motivos. Recuerda que no puedes obligar a la víctima a hacer nada, pero debes mostrarle qué opciones tiene para salir de la situación y cómo puede buscar ayuda. Al mismo tiempo, sabemos que para algunos aspectos emocionales puede que no encuentres una solución.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RESULTADOS DEL APRENDIZAJE: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Comprender el punto de vista de la víctima.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Comprender los obstáculos y limitaciones a las que se enfrenta.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Capacidad para encontrar y ofrecer soluciones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DURACIÓN: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 horas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y preparativos: </w:t>
            </w:r>
            <w:r w:rsidDel="00000000" w:rsidR="00000000" w:rsidRPr="00000000">
              <w:rPr>
                <w:rtl w:val="0"/>
              </w:rPr>
              <w:t xml:space="preserve">cuaderno, bolígrafo, ordenador.</w:t>
            </w:r>
          </w:p>
        </w:tc>
      </w:tr>
      <w:tr>
        <w:trPr>
          <w:cantSplit w:val="0"/>
          <w:trHeight w:val="56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Información y autoevaluación:</w:t>
            </w:r>
            <w:r w:rsidDel="00000000" w:rsidR="00000000" w:rsidRPr="00000000">
              <w:rPr>
                <w:rtl w:val="0"/>
              </w:rPr>
              <w:t xml:space="preserve"> Las víctimas de violencia a menudo no tienen la oportunidad de separarse de su agresor debido a diversos factores, ya sean económicos o psicológicos. En ocasiones también están tan acostumbradas a la situación que, a pesar del sufrimiento, persisten en ella porque les resulta familiar. A veces, para cambiar su perspectiva es suficiente con mostrarles soluciones.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REFERENCIAS: </w:t>
            </w:r>
            <w:r w:rsidDel="00000000" w:rsidR="00000000" w:rsidRPr="00000000">
              <w:rPr>
                <w:rtl w:val="0"/>
              </w:rPr>
              <w:t xml:space="preserve">taller IRENE nº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1409383" cy="292718"/>
          <wp:effectExtent b="0" l="0" r="0" t="0"/>
          <wp:docPr id="6091836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383" cy="292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1400175</wp:posOffset>
              </wp:positionH>
              <wp:positionV relativeFrom="paragraph">
                <wp:posOffset>-38099</wp:posOffset>
              </wp:positionV>
              <wp:extent cx="4876800" cy="931630"/>
              <wp:effectExtent b="0" l="0" r="0" t="0"/>
              <wp:wrapNone/>
              <wp:docPr id="60918365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12363" y="332280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143.00000190734863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El proyecto “IRENE: aprendizaje familiar para abordar la violencia” (Nº: 2021-1-ES01-KA220-ADU-000033457) está cofinanciado por el programa Erasmus+ de la Unión Europea. El contenido de esta publicación es responsabilidad exclusiva de los autores y ni la Comisión Europea, ni el Servicio Español para la Internacionalización de la Educación (SEPIE) son responsables del uso que pueda hacerse de la información aquí difundida.</w:t>
                          </w:r>
                          <w:r w:rsidDel="00000000" w:rsidR="00000000" w:rsidRPr="00000000">
                            <w:rPr>
                              <w:rFonts w:ascii="Aptos" w:cs="Aptos" w:eastAsia="Aptos" w:hAnsi="Apto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1400175</wp:posOffset>
              </wp:positionH>
              <wp:positionV relativeFrom="paragraph">
                <wp:posOffset>-38099</wp:posOffset>
              </wp:positionV>
              <wp:extent cx="4876800" cy="931630"/>
              <wp:effectExtent b="0" l="0" r="0" t="0"/>
              <wp:wrapNone/>
              <wp:docPr id="60918365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93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-276223</wp:posOffset>
          </wp:positionV>
          <wp:extent cx="1202690" cy="683895"/>
          <wp:effectExtent b="0" l="0" r="0" t="0"/>
          <wp:wrapNone/>
          <wp:docPr id="60918365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2690" cy="683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-114934</wp:posOffset>
          </wp:positionV>
          <wp:extent cx="1167091" cy="416818"/>
          <wp:effectExtent b="0" l="0" r="0" t="0"/>
          <wp:wrapNone/>
          <wp:docPr descr="Uma imagem com Tipo de letra, captura de ecrã, símbolo, texto&#10;&#10;Descrição gerada automaticamente" id="609183651" name="image1.png"/>
          <a:graphic>
            <a:graphicData uri="http://schemas.openxmlformats.org/drawingml/2006/picture">
              <pic:pic>
                <pic:nvPicPr>
                  <pic:cNvPr descr="Uma imagem com Tipo de letra, captura de ecrã, símbolo, texto&#10;&#10;Descrição gerad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7091" cy="4168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ter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 w:val="1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Ttulo4">
    <w:name w:val="heading 4"/>
    <w:basedOn w:val="Normal"/>
    <w:next w:val="Normal"/>
    <w:link w:val="Ttulo4Carter"/>
    <w:uiPriority w:val="9"/>
    <w:semiHidden w:val="1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semiHidden w:val="1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6">
    <w:name w:val="heading 6"/>
    <w:basedOn w:val="Normal"/>
    <w:next w:val="Normal"/>
    <w:link w:val="Ttulo6Carter"/>
    <w:uiPriority w:val="9"/>
    <w:semiHidden w:val="1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Ttulo7">
    <w:name w:val="heading 7"/>
    <w:basedOn w:val="Normal"/>
    <w:next w:val="Normal"/>
    <w:link w:val="Ttulo7Carter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Ttulo8">
    <w:name w:val="heading 8"/>
    <w:basedOn w:val="Normal"/>
    <w:next w:val="Normal"/>
    <w:link w:val="Ttulo8Carter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Ttulo9">
    <w:name w:val="heading 9"/>
    <w:basedOn w:val="Normal"/>
    <w:next w:val="Normal"/>
    <w:link w:val="Ttulo9Carter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Ttulo1Carter" w:customStyle="1">
    <w:name w:val="Título 1 Caráter"/>
    <w:basedOn w:val="Tipodeletrapredefinidodopargrafo"/>
    <w:link w:val="Ttulo1"/>
    <w:uiPriority w:val="9"/>
    <w:rPr>
      <w:rFonts w:ascii="Arial" w:cs="Arial" w:eastAsia="Arial" w:hAnsi="Arial"/>
      <w:sz w:val="40"/>
      <w:szCs w:val="40"/>
    </w:rPr>
  </w:style>
  <w:style w:type="character" w:styleId="Ttulo2Carter" w:customStyle="1">
    <w:name w:val="Título 2 Caráter"/>
    <w:basedOn w:val="Tipodeletrapredefinidodopargrafo"/>
    <w:link w:val="Ttulo2"/>
    <w:uiPriority w:val="9"/>
    <w:rPr>
      <w:rFonts w:ascii="Arial" w:cs="Arial" w:eastAsia="Arial" w:hAnsi="Arial"/>
      <w:sz w:val="34"/>
    </w:rPr>
  </w:style>
  <w:style w:type="character" w:styleId="Ttulo3Carter" w:customStyle="1">
    <w:name w:val="Título 3 Caráter"/>
    <w:basedOn w:val="Tipodeletrapredefinidodopargrafo"/>
    <w:link w:val="Ttulo3"/>
    <w:uiPriority w:val="9"/>
    <w:rPr>
      <w:rFonts w:ascii="Arial" w:cs="Arial" w:eastAsia="Arial" w:hAnsi="Arial"/>
      <w:sz w:val="30"/>
      <w:szCs w:val="30"/>
    </w:rPr>
  </w:style>
  <w:style w:type="character" w:styleId="Ttulo4Carter" w:customStyle="1">
    <w:name w:val="Título 4 Caráter"/>
    <w:basedOn w:val="Tipodeletrapredefinidodopargrafo"/>
    <w:link w:val="Ttulo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Ttulo5Carter" w:customStyle="1">
    <w:name w:val="Título 5 Caráter"/>
    <w:basedOn w:val="Tipodeletrapredefinidodopargrafo"/>
    <w:link w:val="Ttulo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Ttulo6Carter" w:customStyle="1">
    <w:name w:val="Título 6 Caráter"/>
    <w:basedOn w:val="Tipodeletrapredefinidodopargrafo"/>
    <w:link w:val="Ttulo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Ttulo7Carter" w:customStyle="1">
    <w:name w:val="Título 7 Caráter"/>
    <w:basedOn w:val="Tipodeletrapredefinidodopargrafo"/>
    <w:link w:val="Ttulo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Ttulo8Carter" w:customStyle="1">
    <w:name w:val="Título 8 Caráter"/>
    <w:basedOn w:val="Tipodeletrapredefinidodopargrafo"/>
    <w:link w:val="Ttulo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Ttulo9Carter" w:customStyle="1">
    <w:name w:val="Título 9 Caráter"/>
    <w:basedOn w:val="Tipodeletrapredefinidodopargrafo"/>
    <w:link w:val="Ttulo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SemEspaamento">
    <w:name w:val="No Spacing"/>
    <w:uiPriority w:val="1"/>
    <w:qFormat w:val="1"/>
    <w:pPr>
      <w:spacing w:after="0" w:line="240" w:lineRule="auto"/>
    </w:pPr>
  </w:style>
  <w:style w:type="character" w:styleId="TtuloCarter" w:customStyle="1">
    <w:name w:val="Título Caráter"/>
    <w:basedOn w:val="Tipodeletrapredefinidodopargraf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 w:val="1"/>
    <w:pPr>
      <w:spacing w:after="200" w:before="200"/>
    </w:pPr>
    <w:rPr>
      <w:sz w:val="24"/>
      <w:szCs w:val="24"/>
    </w:rPr>
  </w:style>
  <w:style w:type="character" w:styleId="SubttuloCarter" w:customStyle="1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qFormat w:val="1"/>
    <w:pPr>
      <w:ind w:left="720" w:right="720"/>
    </w:pPr>
    <w:rPr>
      <w:i w:val="1"/>
    </w:rPr>
  </w:style>
  <w:style w:type="character" w:styleId="CitaoCarter" w:customStyle="1">
    <w:name w:val="Citação Caráter"/>
    <w:link w:val="Citao"/>
    <w:uiPriority w:val="29"/>
    <w:rPr>
      <w:i w:val="1"/>
    </w:rPr>
  </w:style>
  <w:style w:type="paragraph" w:styleId="CitaoIntensa">
    <w:name w:val="Intense Quote"/>
    <w:basedOn w:val="Normal"/>
    <w:next w:val="Normal"/>
    <w:link w:val="CitaoIntensaCarter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CitaoIntensaCarter" w:customStyle="1">
    <w:name w:val="Citação Intensa Caráter"/>
    <w:link w:val="CitaoIntensa"/>
    <w:uiPriority w:val="30"/>
    <w:rPr>
      <w:i w:val="1"/>
    </w:rPr>
  </w:style>
  <w:style w:type="paragraph" w:styleId="Cabealho">
    <w:name w:val="header"/>
    <w:basedOn w:val="Normal"/>
    <w:link w:val="CabealhoCarter"/>
    <w:uiPriority w:val="99"/>
    <w:unhideWhenUsed w:val="1"/>
    <w:pPr>
      <w:tabs>
        <w:tab w:val="center" w:pos="7143"/>
        <w:tab w:val="right" w:pos="14287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 w:val="1"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Tipodeletrapredefinidodopargrafo"/>
    <w:uiPriority w:val="99"/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472c4" w:themeColor="accent1"/>
      <w:sz w:val="18"/>
      <w:szCs w:val="18"/>
    </w:rPr>
  </w:style>
  <w:style w:type="character" w:styleId="RodapCarter" w:customStyle="1">
    <w:name w:val="Rodapé Caráter"/>
    <w:link w:val="Rodap"/>
    <w:uiPriority w:val="99"/>
  </w:style>
  <w:style w:type="table" w:styleId="TabelacomGrelha">
    <w:name w:val="Table Grid"/>
    <w:basedOn w:val="Tabelanormal"/>
    <w:uiPriority w:val="5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Tabelanormal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TabeladeGrelha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TabeladeGrelha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deGrelha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deGrelha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537dc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dae3f3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5b9bd5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TabeladeGrelha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band1Vert">
      <w:tblPr/>
      <w:tcPr>
        <w:shd w:color="a9bee4" w:fill="a9bee4" w:themeColor="accent1" w:themeFill="accent1" w:themeFillTint="000075" w:themeTint="000075" w:val="clear"/>
      </w:tcPr>
    </w:tblStylePr>
    <w:tblStylePr w:type="band1Horz">
      <w:tblPr/>
      <w:tcPr>
        <w:shd w:color="a9bee4" w:fill="a9bee4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band1Vert">
      <w:tblPr/>
      <w:tcPr>
        <w:shd w:color="b3d0eb" w:fill="b3d0eb" w:themeColor="accent5" w:themeFill="accent5" w:themeFillTint="000075" w:themeTint="000075" w:val="clear"/>
      </w:tcPr>
    </w:tblStylePr>
    <w:tblStylePr w:type="band1Horz">
      <w:tblPr/>
      <w:tcPr>
        <w:shd w:color="b3d0eb" w:fill="b3d0eb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TabeladeGrelha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TabeladeGrelha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0b7e1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auto" w:space="0" w:sz="0" w:val="none"/>
          <w:left w:color="a0b7e1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1" w:themeFill="accent1" w:themeFillTint="000034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d8e2f3" w:themeColor="accent1" w:themeFill="accent1" w:themeFillTint="000034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2c6e7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auto" w:space="0" w:sz="0" w:val="none"/>
          <w:left w:color="a2c6e7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9bc2e5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4472c4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4472c4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4472c4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4472c4" w:themeColor="accent1" w:themeFill="accent1" w:val="clear"/>
      </w:tcPr>
    </w:tblStylePr>
  </w:style>
  <w:style w:type="table" w:styleId="ListTable5Dark-Accent2" w:customStyle="1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9bc2e5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9bc2e5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4472c4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auto" w:space="0" w:sz="0" w:val="none"/>
          <w:left w:color="4472c4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1" w:themeFill="accent1" w:themeFillTint="000040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cfdbf0" w:themeColor="accent1" w:themeFill="accent1" w:themeFillTint="000040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9bc2e5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auto" w:space="0" w:sz="0" w:val="none"/>
          <w:left w:color="9bc2e5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5" w:themeFill="accent5" w:themeFillTint="000040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d5e5f4" w:themeColor="accent5" w:themeFill="accent5" w:themeFillTint="000040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537dc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c4d2ec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5b9bd5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ddeaf6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Hiperligao">
    <w:name w:val="Hyperlink"/>
    <w:uiPriority w:val="99"/>
    <w:unhideWhenUsed w:val="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TextodenotaderodapCarter" w:customStyle="1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 w:val="1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TextodenotadefimCarter" w:customStyle="1">
    <w:name w:val="Texto de nota de fim Caráter"/>
    <w:link w:val="Textodenotadefim"/>
    <w:uiPriority w:val="99"/>
    <w:rPr>
      <w:sz w:val="20"/>
    </w:rPr>
  </w:style>
  <w:style w:type="character" w:styleId="Refdenotadefim">
    <w:name w:val="endnote reference"/>
    <w:basedOn w:val="Tipodeletrapredefinidodopargrafo"/>
    <w:uiPriority w:val="99"/>
    <w:semiHidden w:val="1"/>
    <w:unhideWhenUsed w:val="1"/>
    <w:rPr>
      <w:vertAlign w:val="superscript"/>
    </w:rPr>
  </w:style>
  <w:style w:type="paragraph" w:styleId="ndice1">
    <w:name w:val="toc 1"/>
    <w:basedOn w:val="Normal"/>
    <w:next w:val="Normal"/>
    <w:uiPriority w:val="39"/>
    <w:unhideWhenUsed w:val="1"/>
    <w:pPr>
      <w:spacing w:after="57"/>
    </w:pPr>
  </w:style>
  <w:style w:type="paragraph" w:styleId="ndice2">
    <w:name w:val="toc 2"/>
    <w:basedOn w:val="Normal"/>
    <w:next w:val="Normal"/>
    <w:uiPriority w:val="39"/>
    <w:unhideWhenUsed w:val="1"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 w:val="1"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 w:val="1"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 w:val="1"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 w:val="1"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 w:val="1"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 w:val="1"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 w:val="1"/>
    <w:pPr>
      <w:spacing w:after="57"/>
      <w:ind w:left="2268"/>
    </w:pPr>
  </w:style>
  <w:style w:type="paragraph" w:styleId="Cabealhodondice">
    <w:name w:val="TOC Heading"/>
    <w:uiPriority w:val="39"/>
    <w:unhideWhenUsed w:val="1"/>
  </w:style>
  <w:style w:type="paragraph" w:styleId="ndicedeilustraes">
    <w:name w:val="table of figures"/>
    <w:basedOn w:val="Normal"/>
    <w:next w:val="Normal"/>
    <w:uiPriority w:val="99"/>
    <w:unhideWhenUsed w:val="1"/>
    <w:pPr>
      <w:spacing w:after="0"/>
    </w:p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sitivepsychology.com/attachment-styles-childhood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KQfWXusZwlN3cW7fLVxB8dJ00Q==">CgMxLjA4AHIhMW9HMm5taGtNTUg5bGpLRzZJMEV1Q2l2WlVSVng5ZjFN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2023-03-23T12:42:00Z</dcterms:created>
  <dc:creator>Joanna Wapinska</dc:creator>
</cp:coreProperties>
</file>